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F1" w:rsidRPr="0020618C" w:rsidRDefault="00096AF1" w:rsidP="00745AE0">
      <w:pPr>
        <w:spacing w:line="240" w:lineRule="auto"/>
        <w:jc w:val="center"/>
        <w:rPr>
          <w:rFonts w:cstheme="minorHAnsi"/>
          <w:b/>
          <w:sz w:val="24"/>
          <w:szCs w:val="24"/>
        </w:rPr>
      </w:pPr>
      <w:proofErr w:type="spellStart"/>
      <w:r w:rsidRPr="0020618C">
        <w:rPr>
          <w:rFonts w:cstheme="minorHAnsi"/>
          <w:b/>
          <w:sz w:val="24"/>
          <w:szCs w:val="24"/>
        </w:rPr>
        <w:t>Procruador</w:t>
      </w:r>
      <w:proofErr w:type="spellEnd"/>
      <w:r w:rsidRPr="0020618C">
        <w:rPr>
          <w:rFonts w:cstheme="minorHAnsi"/>
          <w:b/>
          <w:sz w:val="24"/>
          <w:szCs w:val="24"/>
        </w:rPr>
        <w:t xml:space="preserve"> Brnovich Anuncia Recuperaciones </w:t>
      </w:r>
      <w:r w:rsidR="0020618C" w:rsidRPr="0020618C">
        <w:rPr>
          <w:rFonts w:cstheme="minorHAnsi"/>
          <w:b/>
          <w:sz w:val="24"/>
          <w:szCs w:val="24"/>
        </w:rPr>
        <w:t xml:space="preserve">Récord </w:t>
      </w:r>
      <w:r w:rsidR="0020618C">
        <w:rPr>
          <w:rFonts w:cstheme="minorHAnsi"/>
          <w:b/>
          <w:sz w:val="24"/>
          <w:szCs w:val="24"/>
        </w:rPr>
        <w:t>d</w:t>
      </w:r>
      <w:r w:rsidR="0020618C" w:rsidRPr="0020618C">
        <w:rPr>
          <w:rFonts w:cstheme="minorHAnsi"/>
          <w:b/>
          <w:sz w:val="24"/>
          <w:szCs w:val="24"/>
        </w:rPr>
        <w:t xml:space="preserve">e Consumidores </w:t>
      </w:r>
      <w:r w:rsidR="0020618C">
        <w:rPr>
          <w:rFonts w:cstheme="minorHAnsi"/>
          <w:b/>
          <w:sz w:val="24"/>
          <w:szCs w:val="24"/>
        </w:rPr>
        <w:t>a</w:t>
      </w:r>
      <w:r w:rsidR="0020618C" w:rsidRPr="0020618C">
        <w:rPr>
          <w:rFonts w:cstheme="minorHAnsi"/>
          <w:b/>
          <w:sz w:val="24"/>
          <w:szCs w:val="24"/>
        </w:rPr>
        <w:t xml:space="preserve"> Medida Que Comienza </w:t>
      </w:r>
      <w:r w:rsidR="0020618C">
        <w:rPr>
          <w:rFonts w:cstheme="minorHAnsi"/>
          <w:b/>
          <w:sz w:val="24"/>
          <w:szCs w:val="24"/>
        </w:rPr>
        <w:t>l</w:t>
      </w:r>
      <w:r w:rsidR="0020618C" w:rsidRPr="0020618C">
        <w:rPr>
          <w:rFonts w:cstheme="minorHAnsi"/>
          <w:b/>
          <w:sz w:val="24"/>
          <w:szCs w:val="24"/>
        </w:rPr>
        <w:t xml:space="preserve">a </w:t>
      </w:r>
      <w:r w:rsidRPr="0020618C">
        <w:rPr>
          <w:rFonts w:cstheme="minorHAnsi"/>
          <w:b/>
          <w:sz w:val="24"/>
          <w:szCs w:val="24"/>
        </w:rPr>
        <w:t xml:space="preserve">Semana </w:t>
      </w:r>
      <w:r w:rsidR="0020618C">
        <w:rPr>
          <w:rFonts w:cstheme="minorHAnsi"/>
          <w:b/>
          <w:sz w:val="24"/>
          <w:szCs w:val="24"/>
        </w:rPr>
        <w:t>d</w:t>
      </w:r>
      <w:r w:rsidR="0020618C" w:rsidRPr="0020618C">
        <w:rPr>
          <w:rFonts w:cstheme="minorHAnsi"/>
          <w:b/>
          <w:sz w:val="24"/>
          <w:szCs w:val="24"/>
        </w:rPr>
        <w:t xml:space="preserve">e </w:t>
      </w:r>
      <w:r w:rsidRPr="0020618C">
        <w:rPr>
          <w:rFonts w:cstheme="minorHAnsi"/>
          <w:b/>
          <w:sz w:val="24"/>
          <w:szCs w:val="24"/>
        </w:rPr>
        <w:t xml:space="preserve">Protección </w:t>
      </w:r>
      <w:r w:rsidR="0020618C">
        <w:rPr>
          <w:rFonts w:cstheme="minorHAnsi"/>
          <w:b/>
          <w:sz w:val="24"/>
          <w:szCs w:val="24"/>
        </w:rPr>
        <w:t>a</w:t>
      </w:r>
      <w:r w:rsidR="0020618C" w:rsidRPr="0020618C">
        <w:rPr>
          <w:rFonts w:cstheme="minorHAnsi"/>
          <w:b/>
          <w:sz w:val="24"/>
          <w:szCs w:val="24"/>
        </w:rPr>
        <w:t xml:space="preserve">l </w:t>
      </w:r>
      <w:r w:rsidRPr="0020618C">
        <w:rPr>
          <w:rFonts w:cstheme="minorHAnsi"/>
          <w:b/>
          <w:sz w:val="24"/>
          <w:szCs w:val="24"/>
        </w:rPr>
        <w:t xml:space="preserve">Consumidor </w:t>
      </w:r>
      <w:r w:rsidR="0020618C">
        <w:rPr>
          <w:rFonts w:cstheme="minorHAnsi"/>
          <w:b/>
          <w:sz w:val="24"/>
          <w:szCs w:val="24"/>
        </w:rPr>
        <w:t>d</w:t>
      </w:r>
      <w:r w:rsidR="0020618C" w:rsidRPr="0020618C">
        <w:rPr>
          <w:rFonts w:cstheme="minorHAnsi"/>
          <w:b/>
          <w:sz w:val="24"/>
          <w:szCs w:val="24"/>
        </w:rPr>
        <w:t xml:space="preserve">e </w:t>
      </w:r>
      <w:r w:rsidRPr="0020618C">
        <w:rPr>
          <w:rFonts w:cstheme="minorHAnsi"/>
          <w:b/>
          <w:sz w:val="24"/>
          <w:szCs w:val="24"/>
        </w:rPr>
        <w:t>Arizona</w:t>
      </w:r>
    </w:p>
    <w:p w:rsidR="00E24D71" w:rsidRPr="004B2C38" w:rsidRDefault="00E24D71" w:rsidP="009D3FFB">
      <w:pPr>
        <w:spacing w:line="240" w:lineRule="auto"/>
        <w:rPr>
          <w:rFonts w:cstheme="minorHAnsi"/>
        </w:rPr>
      </w:pPr>
      <w:r w:rsidRPr="00096AF1">
        <w:rPr>
          <w:rFonts w:cstheme="minorHAnsi"/>
          <w:b/>
        </w:rPr>
        <w:t xml:space="preserve">PHOENIX </w:t>
      </w:r>
      <w:r w:rsidRPr="004B2C38">
        <w:rPr>
          <w:rFonts w:cstheme="minorHAnsi"/>
        </w:rPr>
        <w:t xml:space="preserve">– La Oficina del Procurador General de Arizona (AGO -por sus siglas en inglés) anuncio que recupero más de $38 millones directo en restitución para los consumidores en 2019.  Desde que el Procurador Brnovich asumió el cargo en enero de 2015, la Procuraduría ha obtenido una cantidad récord de restitución de los consumidores, recuperando más de 94 millones de dólares directamente para los consumidores. Sólo en 2019, </w:t>
      </w:r>
      <w:r w:rsidR="00602368">
        <w:rPr>
          <w:rFonts w:cstheme="minorHAnsi"/>
        </w:rPr>
        <w:t>la Procuraduría</w:t>
      </w:r>
      <w:r w:rsidRPr="004B2C38">
        <w:rPr>
          <w:rFonts w:cstheme="minorHAnsi"/>
        </w:rPr>
        <w:t>:</w:t>
      </w:r>
    </w:p>
    <w:p w:rsidR="00E24D71" w:rsidRPr="004B2C38" w:rsidRDefault="00017520" w:rsidP="009D3FFB">
      <w:pPr>
        <w:pStyle w:val="ListParagraph"/>
        <w:numPr>
          <w:ilvl w:val="0"/>
          <w:numId w:val="4"/>
        </w:numPr>
        <w:spacing w:line="240" w:lineRule="auto"/>
        <w:rPr>
          <w:rFonts w:cstheme="minorHAnsi"/>
        </w:rPr>
      </w:pPr>
      <w:r w:rsidRPr="004B2C38">
        <w:rPr>
          <w:rFonts w:cstheme="minorHAnsi"/>
        </w:rPr>
        <w:t>Aseguró más de $33 millones en restitución de consumidores a través de acuerdos y demandas</w:t>
      </w:r>
    </w:p>
    <w:p w:rsidR="00017520" w:rsidRPr="004B2C38" w:rsidRDefault="00017520" w:rsidP="009D3FFB">
      <w:pPr>
        <w:pStyle w:val="ListParagraph"/>
        <w:numPr>
          <w:ilvl w:val="0"/>
          <w:numId w:val="4"/>
        </w:numPr>
        <w:spacing w:line="240" w:lineRule="auto"/>
        <w:rPr>
          <w:rFonts w:cstheme="minorHAnsi"/>
        </w:rPr>
      </w:pPr>
      <w:r w:rsidRPr="004B2C38">
        <w:rPr>
          <w:rFonts w:cstheme="minorHAnsi"/>
        </w:rPr>
        <w:t>Recuperó casi $5 millones directamente para los consumidores trabajando junto con los consumidores y las empresas para resolver quejas</w:t>
      </w:r>
    </w:p>
    <w:p w:rsidR="00017520" w:rsidRPr="004B2C38" w:rsidRDefault="00017520" w:rsidP="009D3FFB">
      <w:pPr>
        <w:pStyle w:val="ListParagraph"/>
        <w:numPr>
          <w:ilvl w:val="0"/>
          <w:numId w:val="4"/>
        </w:numPr>
        <w:spacing w:line="240" w:lineRule="auto"/>
        <w:rPr>
          <w:rFonts w:cstheme="minorHAnsi"/>
        </w:rPr>
      </w:pPr>
      <w:r w:rsidRPr="004B2C38">
        <w:rPr>
          <w:rFonts w:cstheme="minorHAnsi"/>
        </w:rPr>
        <w:t>Aseguró más de $17 millones adicionalmente en sanciones civiles y costos de asuntos relacionados con la protección del consumidor</w:t>
      </w:r>
    </w:p>
    <w:p w:rsidR="00017520" w:rsidRPr="004B2C38" w:rsidRDefault="00017520" w:rsidP="009D3FFB">
      <w:pPr>
        <w:spacing w:line="240" w:lineRule="auto"/>
        <w:rPr>
          <w:rFonts w:cstheme="minorHAnsi"/>
          <w:i/>
        </w:rPr>
      </w:pPr>
      <w:r w:rsidRPr="004B2C38">
        <w:rPr>
          <w:rFonts w:cstheme="minorHAnsi"/>
          <w:i/>
        </w:rPr>
        <w:t>“Cada día luchamos duramente por los consumidores, ya sean atacados por estafadores locales o por corporaciones gigantes”, dijo el Procurador General Brnovich. “Nuestro apasionado personal de protección al consumidor está obteniendo resultados sorprendentes porque se aseguran de que cada semana sea una semana de protección del consumidor en la Procuraduría</w:t>
      </w:r>
      <w:r w:rsidR="00602368">
        <w:rPr>
          <w:rFonts w:cstheme="minorHAnsi"/>
          <w:i/>
        </w:rPr>
        <w:t>.</w:t>
      </w:r>
      <w:r w:rsidRPr="004B2C38">
        <w:rPr>
          <w:rFonts w:cstheme="minorHAnsi"/>
          <w:i/>
        </w:rPr>
        <w:t>"</w:t>
      </w:r>
    </w:p>
    <w:p w:rsidR="00EA2FD0" w:rsidRPr="004B2C38" w:rsidRDefault="00EA2FD0" w:rsidP="009D3FFB">
      <w:pPr>
        <w:spacing w:line="240" w:lineRule="auto"/>
        <w:rPr>
          <w:rFonts w:cstheme="minorHAnsi"/>
        </w:rPr>
      </w:pPr>
      <w:r w:rsidRPr="004B2C38">
        <w:rPr>
          <w:rFonts w:cstheme="minorHAnsi"/>
        </w:rPr>
        <w:t xml:space="preserve">En 2019, la </w:t>
      </w:r>
      <w:r w:rsidR="00E25A61" w:rsidRPr="004B2C38">
        <w:rPr>
          <w:rFonts w:cstheme="minorHAnsi"/>
        </w:rPr>
        <w:t>Procuraduría</w:t>
      </w:r>
      <w:r w:rsidRPr="004B2C38">
        <w:rPr>
          <w:rFonts w:cstheme="minorHAnsi"/>
        </w:rPr>
        <w:t xml:space="preserve"> tramito más de 14,000 quejas escritas de consumidores y casi 40,000 llamadas de teléfono de consumidores. Además de trabajar diligentemente para resolver las quejas de los consumidores, la </w:t>
      </w:r>
      <w:r w:rsidR="00E25A61" w:rsidRPr="004B2C38">
        <w:rPr>
          <w:rFonts w:cstheme="minorHAnsi"/>
        </w:rPr>
        <w:t>Procuraduría</w:t>
      </w:r>
      <w:r w:rsidRPr="004B2C38">
        <w:rPr>
          <w:rFonts w:cstheme="minorHAnsi"/>
        </w:rPr>
        <w:t xml:space="preserve"> ha presentado recientemente acciones legales contra </w:t>
      </w:r>
      <w:hyperlink r:id="rId7" w:history="1">
        <w:proofErr w:type="spellStart"/>
        <w:r w:rsidRPr="00745AE0">
          <w:rPr>
            <w:rStyle w:val="Hyperlink"/>
            <w:rFonts w:cstheme="minorHAnsi"/>
          </w:rPr>
          <w:t>Purdue</w:t>
        </w:r>
        <w:proofErr w:type="spellEnd"/>
        <w:r w:rsidRPr="00745AE0">
          <w:rPr>
            <w:rStyle w:val="Hyperlink"/>
            <w:rFonts w:cstheme="minorHAnsi"/>
          </w:rPr>
          <w:t xml:space="preserve"> </w:t>
        </w:r>
        <w:proofErr w:type="spellStart"/>
        <w:r w:rsidRPr="00745AE0">
          <w:rPr>
            <w:rStyle w:val="Hyperlink"/>
            <w:rFonts w:cstheme="minorHAnsi"/>
          </w:rPr>
          <w:t>Pharma</w:t>
        </w:r>
        <w:proofErr w:type="spellEnd"/>
      </w:hyperlink>
      <w:r w:rsidRPr="004B2C38">
        <w:rPr>
          <w:rFonts w:cstheme="minorHAnsi"/>
        </w:rPr>
        <w:t xml:space="preserve">, las compañías del </w:t>
      </w:r>
      <w:r w:rsidR="00E25A61" w:rsidRPr="004B2C38">
        <w:rPr>
          <w:rFonts w:cstheme="minorHAnsi"/>
        </w:rPr>
        <w:t>cigarrillo</w:t>
      </w:r>
      <w:r w:rsidRPr="004B2C38">
        <w:rPr>
          <w:rFonts w:cstheme="minorHAnsi"/>
        </w:rPr>
        <w:t xml:space="preserve"> electrónico </w:t>
      </w:r>
      <w:hyperlink r:id="rId8" w:history="1">
        <w:r w:rsidRPr="00745AE0">
          <w:rPr>
            <w:rStyle w:val="Hyperlink"/>
            <w:rFonts w:cstheme="minorHAnsi"/>
          </w:rPr>
          <w:t>JUUL</w:t>
        </w:r>
      </w:hyperlink>
      <w:r w:rsidRPr="004B2C38">
        <w:rPr>
          <w:rFonts w:cstheme="minorHAnsi"/>
        </w:rPr>
        <w:t xml:space="preserve"> y </w:t>
      </w:r>
      <w:hyperlink r:id="rId9" w:history="1">
        <w:proofErr w:type="spellStart"/>
        <w:r w:rsidRPr="00745AE0">
          <w:rPr>
            <w:rStyle w:val="Hyperlink"/>
            <w:rFonts w:cstheme="minorHAnsi"/>
          </w:rPr>
          <w:t>Eonsmoke</w:t>
        </w:r>
        <w:proofErr w:type="spellEnd"/>
      </w:hyperlink>
      <w:r w:rsidRPr="004B2C38">
        <w:rPr>
          <w:rFonts w:cstheme="minorHAnsi"/>
        </w:rPr>
        <w:t xml:space="preserve">, la compañía de garantía para el hogar </w:t>
      </w:r>
      <w:hyperlink r:id="rId10" w:history="1">
        <w:proofErr w:type="spellStart"/>
        <w:r w:rsidRPr="00745AE0">
          <w:rPr>
            <w:rStyle w:val="Hyperlink"/>
            <w:rFonts w:cstheme="minorHAnsi"/>
          </w:rPr>
          <w:t>Choice</w:t>
        </w:r>
        <w:proofErr w:type="spellEnd"/>
        <w:r w:rsidRPr="00745AE0">
          <w:rPr>
            <w:rStyle w:val="Hyperlink"/>
            <w:rFonts w:cstheme="minorHAnsi"/>
          </w:rPr>
          <w:t xml:space="preserve"> Home </w:t>
        </w:r>
        <w:proofErr w:type="spellStart"/>
        <w:r w:rsidRPr="00745AE0">
          <w:rPr>
            <w:rStyle w:val="Hyperlink"/>
            <w:rFonts w:cstheme="minorHAnsi"/>
          </w:rPr>
          <w:t>Warranty</w:t>
        </w:r>
        <w:proofErr w:type="spellEnd"/>
        <w:r w:rsidRPr="00745AE0">
          <w:rPr>
            <w:rStyle w:val="Hyperlink"/>
            <w:rFonts w:cstheme="minorHAnsi"/>
          </w:rPr>
          <w:t>,</w:t>
        </w:r>
      </w:hyperlink>
      <w:r w:rsidRPr="004B2C38">
        <w:rPr>
          <w:rFonts w:cstheme="minorHAnsi"/>
        </w:rPr>
        <w:t xml:space="preserve"> varios ejecutivos del fabricante de opioides con sede en Chandler </w:t>
      </w:r>
      <w:hyperlink r:id="rId11" w:history="1">
        <w:proofErr w:type="spellStart"/>
        <w:r w:rsidRPr="00745AE0">
          <w:rPr>
            <w:rStyle w:val="Hyperlink"/>
            <w:rFonts w:cstheme="minorHAnsi"/>
          </w:rPr>
          <w:t>Insys</w:t>
        </w:r>
        <w:proofErr w:type="spellEnd"/>
        <w:r w:rsidRPr="00745AE0">
          <w:rPr>
            <w:rStyle w:val="Hyperlink"/>
            <w:rFonts w:cstheme="minorHAnsi"/>
          </w:rPr>
          <w:t xml:space="preserve"> </w:t>
        </w:r>
        <w:proofErr w:type="spellStart"/>
        <w:r w:rsidRPr="00745AE0">
          <w:rPr>
            <w:rStyle w:val="Hyperlink"/>
            <w:rFonts w:cstheme="minorHAnsi"/>
          </w:rPr>
          <w:t>Therapeutics</w:t>
        </w:r>
        <w:proofErr w:type="spellEnd"/>
      </w:hyperlink>
      <w:r w:rsidRPr="004B2C38">
        <w:rPr>
          <w:rFonts w:cstheme="minorHAnsi"/>
        </w:rPr>
        <w:t>, y muchos otros. La Procuraduría también distribuyó decenas de millones de dólares en restitución a los consumidores de victorias legales anteriores el año pasado.</w:t>
      </w:r>
    </w:p>
    <w:p w:rsidR="00EA2FD0" w:rsidRPr="004B2C38" w:rsidRDefault="00EA2FD0" w:rsidP="009D3FFB">
      <w:pPr>
        <w:spacing w:line="240" w:lineRule="auto"/>
        <w:rPr>
          <w:rFonts w:cstheme="minorHAnsi"/>
        </w:rPr>
      </w:pPr>
      <w:r w:rsidRPr="004B2C38">
        <w:rPr>
          <w:rFonts w:cstheme="minorHAnsi"/>
        </w:rPr>
        <w:t xml:space="preserve">En reconocimiento a la Semana de Protección del Consumidor de Arizona, el Procurador General Brnovich publicó una lista de Los Cinco Tipos </w:t>
      </w:r>
      <w:r w:rsidR="00E25A61" w:rsidRPr="004B2C38">
        <w:rPr>
          <w:rFonts w:cstheme="minorHAnsi"/>
        </w:rPr>
        <w:t>P</w:t>
      </w:r>
      <w:r w:rsidRPr="004B2C38">
        <w:rPr>
          <w:rFonts w:cstheme="minorHAnsi"/>
        </w:rPr>
        <w:t xml:space="preserve">rincipales de Quejas de </w:t>
      </w:r>
      <w:r w:rsidR="00E25A61" w:rsidRPr="004B2C38">
        <w:rPr>
          <w:rFonts w:cstheme="minorHAnsi"/>
        </w:rPr>
        <w:t>F</w:t>
      </w:r>
      <w:r w:rsidRPr="004B2C38">
        <w:rPr>
          <w:rFonts w:cstheme="minorHAnsi"/>
        </w:rPr>
        <w:t>raude al Consumidor de Arizona recibidas en 2019</w:t>
      </w:r>
      <w:r w:rsidR="00E25A61" w:rsidRPr="004B2C38">
        <w:rPr>
          <w:rFonts w:cstheme="minorHAnsi"/>
        </w:rPr>
        <w:t>.</w:t>
      </w:r>
    </w:p>
    <w:p w:rsidR="009D3FFB" w:rsidRPr="004B2C38" w:rsidRDefault="009D3FFB" w:rsidP="009D3FFB">
      <w:pPr>
        <w:rPr>
          <w:rFonts w:cstheme="minorHAnsi"/>
          <w:b/>
        </w:rPr>
      </w:pPr>
      <w:r w:rsidRPr="004B2C38">
        <w:rPr>
          <w:rFonts w:cstheme="minorHAnsi"/>
          <w:b/>
        </w:rPr>
        <w:t>2019 Principales Quejas de Fraude al Consumidor de Arizona:</w:t>
      </w:r>
    </w:p>
    <w:p w:rsidR="00E25A61" w:rsidRPr="004B2C38" w:rsidRDefault="00E25A61" w:rsidP="009D3FFB">
      <w:pPr>
        <w:pStyle w:val="ListParagraph"/>
        <w:numPr>
          <w:ilvl w:val="0"/>
          <w:numId w:val="5"/>
        </w:numPr>
        <w:spacing w:line="240" w:lineRule="auto"/>
        <w:rPr>
          <w:rFonts w:cstheme="minorHAnsi"/>
        </w:rPr>
      </w:pPr>
      <w:r w:rsidRPr="004B2C38">
        <w:rPr>
          <w:rFonts w:cstheme="minorHAnsi"/>
        </w:rPr>
        <w:t xml:space="preserve">Telemercadeo y Fraude Telefónico </w:t>
      </w:r>
    </w:p>
    <w:p w:rsidR="00E25A61" w:rsidRPr="004B2C38" w:rsidRDefault="00E25A61" w:rsidP="009D3FFB">
      <w:pPr>
        <w:pStyle w:val="ListParagraph"/>
        <w:numPr>
          <w:ilvl w:val="0"/>
          <w:numId w:val="5"/>
        </w:numPr>
        <w:spacing w:line="240" w:lineRule="auto"/>
        <w:rPr>
          <w:rFonts w:cstheme="minorHAnsi"/>
        </w:rPr>
      </w:pPr>
      <w:r w:rsidRPr="004B2C38">
        <w:rPr>
          <w:rFonts w:cstheme="minorHAnsi"/>
        </w:rPr>
        <w:t>Ventas, Reparaciones Y Alquileres De Vehículos De Motor</w:t>
      </w:r>
    </w:p>
    <w:p w:rsidR="00E25A61" w:rsidRPr="004B2C38" w:rsidRDefault="00E25A61" w:rsidP="009D3FFB">
      <w:pPr>
        <w:pStyle w:val="ListParagraph"/>
        <w:numPr>
          <w:ilvl w:val="0"/>
          <w:numId w:val="5"/>
        </w:numPr>
        <w:spacing w:line="240" w:lineRule="auto"/>
        <w:rPr>
          <w:rFonts w:cstheme="minorHAnsi"/>
        </w:rPr>
      </w:pPr>
      <w:r w:rsidRPr="004B2C38">
        <w:rPr>
          <w:rFonts w:cstheme="minorHAnsi"/>
        </w:rPr>
        <w:t>Hipoteca Y Bienes Raíces</w:t>
      </w:r>
    </w:p>
    <w:p w:rsidR="00E25A61" w:rsidRPr="004B2C38" w:rsidRDefault="00E25A61" w:rsidP="009D3FFB">
      <w:pPr>
        <w:pStyle w:val="ListParagraph"/>
        <w:numPr>
          <w:ilvl w:val="0"/>
          <w:numId w:val="5"/>
        </w:numPr>
        <w:spacing w:line="240" w:lineRule="auto"/>
        <w:rPr>
          <w:rFonts w:cstheme="minorHAnsi"/>
        </w:rPr>
      </w:pPr>
      <w:r w:rsidRPr="004B2C38">
        <w:rPr>
          <w:rFonts w:cstheme="minorHAnsi"/>
        </w:rPr>
        <w:t>Telecomunicaciones (es decir, proveedores de servicios de Internet, teléfonos celulares, televisión de pago, agrupación o paquetes)</w:t>
      </w:r>
    </w:p>
    <w:p w:rsidR="00E25A61" w:rsidRPr="004B2C38" w:rsidRDefault="00E25A61" w:rsidP="009D3FFB">
      <w:pPr>
        <w:pStyle w:val="ListParagraph"/>
        <w:numPr>
          <w:ilvl w:val="0"/>
          <w:numId w:val="5"/>
        </w:numPr>
        <w:spacing w:line="240" w:lineRule="auto"/>
        <w:rPr>
          <w:rFonts w:cstheme="minorHAnsi"/>
        </w:rPr>
      </w:pPr>
      <w:r w:rsidRPr="004B2C38">
        <w:rPr>
          <w:rFonts w:cstheme="minorHAnsi"/>
        </w:rPr>
        <w:t xml:space="preserve">Contrato/Garantía de Servicio de Seguros (es decir, garantías para el hogar)  </w:t>
      </w:r>
    </w:p>
    <w:p w:rsidR="00E25A61" w:rsidRPr="004B2C38" w:rsidRDefault="00E25A61" w:rsidP="009D3FFB">
      <w:pPr>
        <w:pStyle w:val="ListParagraph"/>
        <w:spacing w:line="240" w:lineRule="auto"/>
        <w:ind w:left="0"/>
        <w:rPr>
          <w:rFonts w:cstheme="minorHAnsi"/>
        </w:rPr>
      </w:pPr>
    </w:p>
    <w:p w:rsidR="00E25A61" w:rsidRPr="004B2C38" w:rsidRDefault="00E25A61" w:rsidP="009D3FFB">
      <w:pPr>
        <w:pStyle w:val="ListParagraph"/>
        <w:spacing w:line="240" w:lineRule="auto"/>
        <w:ind w:left="0"/>
        <w:rPr>
          <w:rFonts w:cstheme="minorHAnsi"/>
          <w:b/>
        </w:rPr>
      </w:pPr>
      <w:r w:rsidRPr="004B2C38">
        <w:rPr>
          <w:rFonts w:cstheme="minorHAnsi"/>
          <w:b/>
        </w:rPr>
        <w:t xml:space="preserve">Los Cinco Consejos Principales Para Evitar Estafas Comunes Del Consumidor: </w:t>
      </w:r>
    </w:p>
    <w:p w:rsidR="009D3FFB" w:rsidRPr="004B2C38" w:rsidRDefault="009D3FFB" w:rsidP="009D3FFB">
      <w:pPr>
        <w:pStyle w:val="ListParagraph"/>
        <w:spacing w:line="240" w:lineRule="auto"/>
        <w:ind w:left="0"/>
        <w:rPr>
          <w:rFonts w:cstheme="minorHAnsi"/>
          <w:b/>
        </w:rPr>
      </w:pPr>
    </w:p>
    <w:p w:rsidR="00E25A61" w:rsidRPr="004B2C38" w:rsidRDefault="00E25A61" w:rsidP="009D3FFB">
      <w:pPr>
        <w:pStyle w:val="ListParagraph"/>
        <w:numPr>
          <w:ilvl w:val="0"/>
          <w:numId w:val="7"/>
        </w:numPr>
        <w:spacing w:line="240" w:lineRule="auto"/>
        <w:rPr>
          <w:rFonts w:cstheme="minorHAnsi"/>
        </w:rPr>
      </w:pPr>
      <w:r w:rsidRPr="004B2C38">
        <w:rPr>
          <w:rFonts w:cstheme="minorHAnsi"/>
        </w:rPr>
        <w:t>Estafas Telefónicas: nunca dé dinero en respuesta a una llamada telefónica no solicitada, y recuerde que las agencias gubernamentales legítimas no lo amenazarán ni le exigirán que pague una deuda o una tarifa de inmediato.</w:t>
      </w:r>
    </w:p>
    <w:p w:rsidR="00E25A61" w:rsidRPr="004B2C38" w:rsidRDefault="00E25A61" w:rsidP="009D3FFB">
      <w:pPr>
        <w:pStyle w:val="ListParagraph"/>
        <w:numPr>
          <w:ilvl w:val="0"/>
          <w:numId w:val="7"/>
        </w:numPr>
        <w:spacing w:line="240" w:lineRule="auto"/>
        <w:rPr>
          <w:rFonts w:cstheme="minorHAnsi"/>
        </w:rPr>
      </w:pPr>
      <w:r w:rsidRPr="004B2C38">
        <w:rPr>
          <w:rFonts w:cstheme="minorHAnsi"/>
        </w:rPr>
        <w:t>Vehículos de Motor: Al comprar un vehículo, asegúrese de que todas las promesas hechas por el vendedor o negocio se pongan por escrito y que obtenga una copia de todo el papeleo.</w:t>
      </w:r>
    </w:p>
    <w:p w:rsidR="00E25A61" w:rsidRPr="004B2C38" w:rsidRDefault="009D3FFB" w:rsidP="009D3FFB">
      <w:pPr>
        <w:pStyle w:val="ListParagraph"/>
        <w:numPr>
          <w:ilvl w:val="0"/>
          <w:numId w:val="7"/>
        </w:numPr>
        <w:spacing w:line="240" w:lineRule="auto"/>
        <w:rPr>
          <w:rFonts w:cstheme="minorHAnsi"/>
        </w:rPr>
      </w:pPr>
      <w:r w:rsidRPr="004B2C38">
        <w:rPr>
          <w:rFonts w:cstheme="minorHAnsi"/>
        </w:rPr>
        <w:lastRenderedPageBreak/>
        <w:t>Bienes Raíces: Lea todos los documentos y entienda todos los términos antes de firmar. No firme contratos o acuerdos con espacios en blanco o en un idioma que no entienda.</w:t>
      </w:r>
    </w:p>
    <w:p w:rsidR="009D3FFB" w:rsidRPr="004B2C38" w:rsidRDefault="009D3FFB" w:rsidP="009D3FFB">
      <w:pPr>
        <w:pStyle w:val="ListParagraph"/>
        <w:numPr>
          <w:ilvl w:val="0"/>
          <w:numId w:val="7"/>
        </w:numPr>
        <w:spacing w:line="240" w:lineRule="auto"/>
        <w:rPr>
          <w:rFonts w:cstheme="minorHAnsi"/>
        </w:rPr>
      </w:pPr>
      <w:r w:rsidRPr="004B2C38">
        <w:rPr>
          <w:rFonts w:cstheme="minorHAnsi"/>
        </w:rPr>
        <w:t>Bienes Raíces:  Mantenga un ojo en su factura mensual por cargos no autorizados o cargos nuevos y repentinos.</w:t>
      </w:r>
    </w:p>
    <w:p w:rsidR="009D3FFB" w:rsidRPr="004B2C38" w:rsidRDefault="009D3FFB" w:rsidP="009D3FFB">
      <w:pPr>
        <w:pStyle w:val="ListParagraph"/>
        <w:numPr>
          <w:ilvl w:val="0"/>
          <w:numId w:val="7"/>
        </w:numPr>
        <w:spacing w:line="240" w:lineRule="auto"/>
        <w:rPr>
          <w:rFonts w:cstheme="minorHAnsi"/>
        </w:rPr>
      </w:pPr>
      <w:r w:rsidRPr="004B2C38">
        <w:rPr>
          <w:rFonts w:cstheme="minorHAnsi"/>
        </w:rPr>
        <w:t>Garantías del Hogar: Si suena demasiado bueno para ser verdad, es probable que lo sea.</w:t>
      </w:r>
    </w:p>
    <w:p w:rsidR="009D3FFB" w:rsidRPr="004B2C38" w:rsidRDefault="009D3FFB" w:rsidP="009D3FFB">
      <w:pPr>
        <w:spacing w:line="240" w:lineRule="auto"/>
        <w:rPr>
          <w:rFonts w:cstheme="minorHAnsi"/>
        </w:rPr>
      </w:pPr>
      <w:r w:rsidRPr="004B2C38">
        <w:rPr>
          <w:rFonts w:cstheme="minorHAnsi"/>
          <w:b/>
        </w:rPr>
        <w:t>La Semana de Protección del Consumidor de Arizona</w:t>
      </w:r>
      <w:r w:rsidRPr="004B2C38">
        <w:rPr>
          <w:rFonts w:cstheme="minorHAnsi"/>
        </w:rPr>
        <w:t xml:space="preserve"> se celebra anualmente en conjunto con la Semana Nacional de Protección del Consumidor, una campaña nacional dirigida a la protección del consumidor y la lucha contra el fraude.</w:t>
      </w:r>
    </w:p>
    <w:p w:rsidR="004B2C38" w:rsidRPr="004B2C38" w:rsidRDefault="004B2C38" w:rsidP="004B2C38">
      <w:pPr>
        <w:shd w:val="clear" w:color="auto" w:fill="F5F5F5"/>
        <w:spacing w:after="150" w:line="240" w:lineRule="auto"/>
        <w:rPr>
          <w:rFonts w:cstheme="minorHAnsi"/>
        </w:rPr>
      </w:pPr>
      <w:r w:rsidRPr="004B2C38">
        <w:rPr>
          <w:rFonts w:eastAsia="Times New Roman" w:cstheme="minorHAnsi"/>
        </w:rPr>
        <w:t>El Jefe de la División de Litigios Civiles Joe Sciarrotta supervisa la Sección de Protección al Consumidor y Defensa (CPA -por sus siglas en</w:t>
      </w:r>
      <w:r w:rsidR="002170AD">
        <w:rPr>
          <w:rFonts w:eastAsia="Times New Roman" w:cstheme="minorHAnsi"/>
        </w:rPr>
        <w:t xml:space="preserve"> </w:t>
      </w:r>
      <w:r w:rsidR="002170AD" w:rsidRPr="002170AD">
        <w:rPr>
          <w:rFonts w:eastAsia="Times New Roman" w:cstheme="minorHAnsi"/>
        </w:rPr>
        <w:t>inglés</w:t>
      </w:r>
      <w:r w:rsidRPr="004B2C38">
        <w:rPr>
          <w:rFonts w:eastAsia="Times New Roman" w:cstheme="minorHAnsi"/>
        </w:rPr>
        <w:t xml:space="preserve">), que es una de las secciones de la División de Litigios Civiles. CPA está dirigida por la Jefa de Sección Rebecca Eggleston y ella supervisa: la Unidad de Litigio Civil (CLU -por sus siglas en </w:t>
      </w:r>
      <w:r w:rsidR="002170AD" w:rsidRPr="002170AD">
        <w:rPr>
          <w:rFonts w:eastAsia="Times New Roman" w:cstheme="minorHAnsi"/>
        </w:rPr>
        <w:t>inglés</w:t>
      </w:r>
      <w:r w:rsidRPr="004B2C38">
        <w:rPr>
          <w:rFonts w:eastAsia="Times New Roman" w:cstheme="minorHAnsi"/>
        </w:rPr>
        <w:t xml:space="preserve">) - Jefe de Unidad Matthew Du me, Unidad Antimonopolio (ATU -por sus siglas en </w:t>
      </w:r>
      <w:r w:rsidR="002170AD" w:rsidRPr="002170AD">
        <w:rPr>
          <w:rFonts w:eastAsia="Times New Roman" w:cstheme="minorHAnsi"/>
        </w:rPr>
        <w:t>inglés</w:t>
      </w:r>
      <w:r w:rsidRPr="004B2C38">
        <w:rPr>
          <w:rFonts w:eastAsia="Times New Roman" w:cstheme="minorHAnsi"/>
        </w:rPr>
        <w:t xml:space="preserve">) - Jefe de Unidad Dana Vogel, la Unidad de Información al Consumidor y Quejas (CIC -por sus siglas en </w:t>
      </w:r>
      <w:r w:rsidR="002170AD" w:rsidRPr="002170AD">
        <w:rPr>
          <w:rFonts w:eastAsia="Times New Roman" w:cstheme="minorHAnsi"/>
        </w:rPr>
        <w:t>inglés</w:t>
      </w:r>
      <w:r w:rsidRPr="004B2C38">
        <w:rPr>
          <w:rFonts w:eastAsia="Times New Roman" w:cstheme="minorHAnsi"/>
        </w:rPr>
        <w:t xml:space="preserve">) - Gerente de Unidad Tammy Miller, Tecnología, Información, y la Unidad de Privacidad (TIPU -por sus siglas en </w:t>
      </w:r>
      <w:r w:rsidR="002170AD" w:rsidRPr="002170AD">
        <w:rPr>
          <w:rFonts w:eastAsia="Times New Roman" w:cstheme="minorHAnsi"/>
        </w:rPr>
        <w:t>inglés</w:t>
      </w:r>
      <w:r w:rsidRPr="004B2C38">
        <w:rPr>
          <w:rFonts w:eastAsia="Times New Roman" w:cstheme="minorHAnsi"/>
        </w:rPr>
        <w:t>) - Jefe de unidad Evan Daniels, y la Unidad de Aplicación del Tabaco - Jefe de Unidad Doug Lau. La Sección cuenta con</w:t>
      </w:r>
      <w:bookmarkStart w:id="0" w:name="_GoBack"/>
      <w:bookmarkEnd w:id="0"/>
      <w:r w:rsidRPr="004B2C38">
        <w:rPr>
          <w:rFonts w:eastAsia="Times New Roman" w:cstheme="minorHAnsi"/>
        </w:rPr>
        <w:t xml:space="preserve"> la gran asistencia del equipo de investigadores de fraude de los consumidores de la Sección de Investigaciones Especiales (SIS – por sus siglas en</w:t>
      </w:r>
      <w:r w:rsidR="002170AD">
        <w:rPr>
          <w:rFonts w:eastAsia="Times New Roman" w:cstheme="minorHAnsi"/>
        </w:rPr>
        <w:t xml:space="preserve"> </w:t>
      </w:r>
      <w:r w:rsidR="002170AD" w:rsidRPr="002170AD">
        <w:rPr>
          <w:rFonts w:eastAsia="Times New Roman" w:cstheme="minorHAnsi"/>
        </w:rPr>
        <w:t>inglés</w:t>
      </w:r>
      <w:r w:rsidRPr="004B2C38">
        <w:rPr>
          <w:rFonts w:eastAsia="Times New Roman" w:cstheme="minorHAnsi"/>
        </w:rPr>
        <w:t>).</w:t>
      </w:r>
    </w:p>
    <w:p w:rsidR="009D3FFB" w:rsidRPr="004B2C38" w:rsidRDefault="009D3FFB" w:rsidP="009D3FFB">
      <w:pPr>
        <w:spacing w:line="240" w:lineRule="auto"/>
        <w:rPr>
          <w:rFonts w:cstheme="minorHAnsi"/>
        </w:rPr>
      </w:pPr>
      <w:r w:rsidRPr="004B2C38">
        <w:rPr>
          <w:rFonts w:cstheme="minorHAnsi"/>
        </w:rPr>
        <w:t xml:space="preserve">Si usted cree que ha sido víctima de fraude al consumidor, puede presentar una queja del consumidor visitando el sitio </w:t>
      </w:r>
      <w:hyperlink r:id="rId12" w:history="1">
        <w:r w:rsidRPr="00745AE0">
          <w:rPr>
            <w:rStyle w:val="Hyperlink"/>
            <w:rFonts w:cstheme="minorHAnsi"/>
          </w:rPr>
          <w:t>web del Procurador General</w:t>
        </w:r>
      </w:hyperlink>
      <w:r w:rsidRPr="004B2C38">
        <w:rPr>
          <w:rFonts w:cstheme="minorHAnsi"/>
        </w:rPr>
        <w:t>. Si necesita que le envíen un formulario de queja, puede comunicarse con la Oficina del Procurador General en Phoenix al (602) 542-5763, en Tucson al (520) 628-6648, o fuera de las áreas metropolitanas de Phoenix y Tucson al (800) 352-8431.</w:t>
      </w: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p w:rsidR="001D40AD" w:rsidRDefault="001D40AD" w:rsidP="00757A69">
      <w:pPr>
        <w:shd w:val="clear" w:color="auto" w:fill="F5F5F5"/>
        <w:spacing w:after="150" w:line="240" w:lineRule="auto"/>
        <w:rPr>
          <w:rFonts w:ascii="Helvetica" w:eastAsia="Times New Roman" w:hAnsi="Helvetica" w:cs="Helvetica"/>
          <w:color w:val="333333"/>
          <w:sz w:val="21"/>
          <w:szCs w:val="21"/>
          <w:lang w:val="en-US"/>
        </w:rPr>
      </w:pPr>
    </w:p>
    <w:sectPr w:rsidR="001D4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CA0"/>
    <w:multiLevelType w:val="hybridMultilevel"/>
    <w:tmpl w:val="5B7C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15BC5"/>
    <w:multiLevelType w:val="multilevel"/>
    <w:tmpl w:val="B97C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24BCF"/>
    <w:multiLevelType w:val="multilevel"/>
    <w:tmpl w:val="0CB2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934C5"/>
    <w:multiLevelType w:val="hybridMultilevel"/>
    <w:tmpl w:val="39F03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22A39"/>
    <w:multiLevelType w:val="hybridMultilevel"/>
    <w:tmpl w:val="1D384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1E6A95"/>
    <w:multiLevelType w:val="hybridMultilevel"/>
    <w:tmpl w:val="31D6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125B0"/>
    <w:multiLevelType w:val="multilevel"/>
    <w:tmpl w:val="0AD4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71"/>
    <w:rsid w:val="00017520"/>
    <w:rsid w:val="00096AF1"/>
    <w:rsid w:val="000A14FC"/>
    <w:rsid w:val="001D40AD"/>
    <w:rsid w:val="0020618C"/>
    <w:rsid w:val="002170AD"/>
    <w:rsid w:val="002D76DE"/>
    <w:rsid w:val="004B2C38"/>
    <w:rsid w:val="004E1B66"/>
    <w:rsid w:val="00503ADE"/>
    <w:rsid w:val="00602368"/>
    <w:rsid w:val="00745AE0"/>
    <w:rsid w:val="00757A69"/>
    <w:rsid w:val="00983C0C"/>
    <w:rsid w:val="009D3FFB"/>
    <w:rsid w:val="00E24D71"/>
    <w:rsid w:val="00E25A61"/>
    <w:rsid w:val="00EA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4D71"/>
    <w:rPr>
      <w:b/>
      <w:bCs/>
    </w:rPr>
  </w:style>
  <w:style w:type="character" w:styleId="Hyperlink">
    <w:name w:val="Hyperlink"/>
    <w:basedOn w:val="DefaultParagraphFont"/>
    <w:uiPriority w:val="99"/>
    <w:unhideWhenUsed/>
    <w:rsid w:val="00E24D71"/>
    <w:rPr>
      <w:color w:val="0000FF"/>
      <w:u w:val="single"/>
    </w:rPr>
  </w:style>
  <w:style w:type="paragraph" w:styleId="ListParagraph">
    <w:name w:val="List Paragraph"/>
    <w:basedOn w:val="Normal"/>
    <w:uiPriority w:val="34"/>
    <w:qFormat/>
    <w:rsid w:val="00E24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4D71"/>
    <w:rPr>
      <w:b/>
      <w:bCs/>
    </w:rPr>
  </w:style>
  <w:style w:type="character" w:styleId="Hyperlink">
    <w:name w:val="Hyperlink"/>
    <w:basedOn w:val="DefaultParagraphFont"/>
    <w:uiPriority w:val="99"/>
    <w:unhideWhenUsed/>
    <w:rsid w:val="00E24D71"/>
    <w:rPr>
      <w:color w:val="0000FF"/>
      <w:u w:val="single"/>
    </w:rPr>
  </w:style>
  <w:style w:type="paragraph" w:styleId="ListParagraph">
    <w:name w:val="List Paragraph"/>
    <w:basedOn w:val="Normal"/>
    <w:uiPriority w:val="34"/>
    <w:qFormat/>
    <w:rsid w:val="00E24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95242">
      <w:bodyDiv w:val="1"/>
      <w:marLeft w:val="0"/>
      <w:marRight w:val="0"/>
      <w:marTop w:val="0"/>
      <w:marBottom w:val="0"/>
      <w:divBdr>
        <w:top w:val="none" w:sz="0" w:space="0" w:color="auto"/>
        <w:left w:val="none" w:sz="0" w:space="0" w:color="auto"/>
        <w:bottom w:val="none" w:sz="0" w:space="0" w:color="auto"/>
        <w:right w:val="none" w:sz="0" w:space="0" w:color="auto"/>
      </w:divBdr>
      <w:divsChild>
        <w:div w:id="764886641">
          <w:blockQuote w:val="1"/>
          <w:marLeft w:val="0"/>
          <w:marRight w:val="0"/>
          <w:marTop w:val="300"/>
          <w:marBottom w:val="300"/>
          <w:divBdr>
            <w:top w:val="none" w:sz="0" w:space="0" w:color="auto"/>
            <w:left w:val="single" w:sz="18" w:space="23"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ag.gov/press-release/attorney-general-brnovich-sues-juul-labs-in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ag.gov/press-release/ag-brnovich-takes-action-against-opioid-manufacturer-purdue-pharma" TargetMode="External"/><Relationship Id="rId12" Type="http://schemas.openxmlformats.org/officeDocument/2006/relationships/hyperlink" Target="https://www.azag.gov/complaints/consum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zag.gov/press-release/ag-brnovich-files-lawsuit-against-opioid-manufacturer-insys-therapeutics-and-three" TargetMode="External"/><Relationship Id="rId5" Type="http://schemas.openxmlformats.org/officeDocument/2006/relationships/settings" Target="settings.xml"/><Relationship Id="rId10" Type="http://schemas.openxmlformats.org/officeDocument/2006/relationships/hyperlink" Target="https://www.azag.gov/press-release/ag-brnovich-files-consumer-fraud-lawsuit-against-home-warranty-company" TargetMode="External"/><Relationship Id="rId4" Type="http://schemas.microsoft.com/office/2007/relationships/stylesWithEffects" Target="stylesWithEffects.xml"/><Relationship Id="rId9" Type="http://schemas.openxmlformats.org/officeDocument/2006/relationships/hyperlink" Target="https://www.azag.gov/press-release/ag-brnovich-sues-eonsmoke-and-seeks-preliminary-injunction-immediately-prev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FAEF-8F46-4AB2-860E-D99BDF89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AZ Atty Gen Office</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Arteaga, Lucia</dc:creator>
  <cp:lastModifiedBy>Conner, Katie</cp:lastModifiedBy>
  <cp:revision>2</cp:revision>
  <cp:lastPrinted>2020-03-02T20:37:00Z</cp:lastPrinted>
  <dcterms:created xsi:type="dcterms:W3CDTF">2020-03-09T15:38:00Z</dcterms:created>
  <dcterms:modified xsi:type="dcterms:W3CDTF">2020-03-09T15:38:00Z</dcterms:modified>
</cp:coreProperties>
</file>